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C4FA" w14:textId="4A1690DB" w:rsidR="008A5B30" w:rsidRPr="008A4ABF" w:rsidRDefault="00163869" w:rsidP="005F3D14">
      <w:pPr>
        <w:shd w:val="clear" w:color="auto" w:fill="FFFFFF"/>
        <w:spacing w:before="0" w:after="150" w:line="360" w:lineRule="auto"/>
        <w:jc w:val="right"/>
        <w:rPr>
          <w:rFonts w:asciiTheme="minorHAnsi" w:eastAsia="Times New Roman" w:hAnsiTheme="minorHAnsi" w:cs="Arial"/>
          <w:b/>
          <w:color w:val="0070C0"/>
          <w:sz w:val="24"/>
          <w:szCs w:val="24"/>
          <w:lang w:eastAsia="en-GB"/>
        </w:rPr>
      </w:pPr>
      <w:bookmarkStart w:id="0" w:name="_GoBack"/>
      <w:bookmarkEnd w:id="0"/>
      <w:r>
        <w:rPr>
          <w:rFonts w:asciiTheme="minorHAnsi" w:eastAsia="Times New Roman" w:hAnsiTheme="minorHAnsi" w:cs="Arial"/>
          <w:b/>
          <w:color w:val="0070C0"/>
          <w:sz w:val="24"/>
          <w:szCs w:val="24"/>
          <w:lang w:eastAsia="en-GB"/>
        </w:rPr>
        <w:t>07</w:t>
      </w:r>
      <w:r w:rsidR="008A5B30" w:rsidRPr="008A4ABF">
        <w:rPr>
          <w:rFonts w:asciiTheme="minorHAnsi" w:eastAsia="Times New Roman" w:hAnsiTheme="minorHAnsi" w:cs="Arial"/>
          <w:b/>
          <w:color w:val="0070C0"/>
          <w:sz w:val="24"/>
          <w:szCs w:val="24"/>
          <w:lang w:eastAsia="en-GB"/>
        </w:rPr>
        <w:t>.04.2020</w:t>
      </w:r>
    </w:p>
    <w:p w14:paraId="0E709EA5" w14:textId="54139C52" w:rsidR="008A5B30" w:rsidRPr="008A4ABF" w:rsidRDefault="008A5B30" w:rsidP="005F3D14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inorHAnsi" w:eastAsia="Times New Roman" w:hAnsiTheme="minorHAnsi" w:cs="Tahoma"/>
          <w:b/>
          <w:bCs/>
          <w:color w:val="0070C0"/>
          <w:kern w:val="36"/>
          <w:sz w:val="24"/>
          <w:szCs w:val="24"/>
          <w:lang w:eastAsia="en-GB"/>
        </w:rPr>
      </w:pPr>
      <w:r w:rsidRPr="008A4ABF">
        <w:rPr>
          <w:rFonts w:asciiTheme="minorHAnsi" w:eastAsia="Times New Roman" w:hAnsiTheme="minorHAnsi" w:cs="Tahoma"/>
          <w:b/>
          <w:bCs/>
          <w:color w:val="0070C0"/>
          <w:kern w:val="36"/>
          <w:sz w:val="24"/>
          <w:szCs w:val="24"/>
          <w:lang w:eastAsia="en-GB"/>
        </w:rPr>
        <w:t>Comunicat de presă</w:t>
      </w:r>
    </w:p>
    <w:p w14:paraId="3814BE05" w14:textId="563D5AA6" w:rsidR="008A5B30" w:rsidRPr="00CB44B0" w:rsidRDefault="002A42A1" w:rsidP="00CB44B0">
      <w:pPr>
        <w:spacing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Măsurile stabilite de </w:t>
      </w:r>
      <w:r w:rsidR="008A5B30" w:rsidRPr="008A4ABF">
        <w:rPr>
          <w:b/>
          <w:sz w:val="26"/>
          <w:szCs w:val="26"/>
        </w:rPr>
        <w:t xml:space="preserve">Ministerul Educației și Cercetării </w:t>
      </w:r>
      <w:r w:rsidR="00703B0D" w:rsidRPr="008A4ABF">
        <w:rPr>
          <w:b/>
          <w:sz w:val="26"/>
          <w:szCs w:val="26"/>
        </w:rPr>
        <w:t xml:space="preserve">cu privire </w:t>
      </w:r>
      <w:r w:rsidR="00485FA5">
        <w:rPr>
          <w:b/>
          <w:sz w:val="26"/>
          <w:szCs w:val="26"/>
        </w:rPr>
        <w:t xml:space="preserve">la </w:t>
      </w:r>
      <w:r>
        <w:rPr>
          <w:b/>
          <w:sz w:val="26"/>
          <w:szCs w:val="26"/>
        </w:rPr>
        <w:t>reluarea cursurilor</w:t>
      </w:r>
    </w:p>
    <w:p w14:paraId="3E591ED0" w14:textId="77777777" w:rsidR="005F3D14" w:rsidRPr="008A4ABF" w:rsidRDefault="005F3D14" w:rsidP="008A5B30">
      <w:pPr>
        <w:spacing w:line="240" w:lineRule="auto"/>
        <w:contextualSpacing/>
        <w:rPr>
          <w:sz w:val="26"/>
          <w:szCs w:val="26"/>
        </w:rPr>
      </w:pPr>
    </w:p>
    <w:p w14:paraId="1B5CFCE7" w14:textId="137B0757" w:rsidR="00703B0D" w:rsidRPr="002A42A1" w:rsidRDefault="00703B0D" w:rsidP="00CB44B0">
      <w:pPr>
        <w:spacing w:line="240" w:lineRule="auto"/>
        <w:contextualSpacing/>
        <w:rPr>
          <w:rFonts w:asciiTheme="majorHAnsi" w:hAnsiTheme="majorHAnsi"/>
          <w:b/>
          <w:sz w:val="26"/>
          <w:szCs w:val="26"/>
        </w:rPr>
      </w:pPr>
      <w:r w:rsidRPr="002A42A1">
        <w:rPr>
          <w:rFonts w:asciiTheme="majorHAnsi" w:hAnsiTheme="majorHAnsi"/>
          <w:b/>
          <w:sz w:val="26"/>
          <w:szCs w:val="26"/>
        </w:rPr>
        <w:t xml:space="preserve">Ministerul Educației și Cercetării a agreat cu partenerii educaționali – reprezentanții elevilor, studenților, părinților, cadrelor didactice și </w:t>
      </w:r>
      <w:r w:rsidR="00700563">
        <w:rPr>
          <w:rFonts w:asciiTheme="majorHAnsi" w:hAnsiTheme="majorHAnsi"/>
          <w:b/>
          <w:sz w:val="26"/>
          <w:szCs w:val="26"/>
        </w:rPr>
        <w:t xml:space="preserve">cei ai </w:t>
      </w:r>
      <w:r w:rsidRPr="002A42A1">
        <w:rPr>
          <w:rFonts w:asciiTheme="majorHAnsi" w:hAnsiTheme="majorHAnsi"/>
          <w:b/>
          <w:sz w:val="26"/>
          <w:szCs w:val="26"/>
        </w:rPr>
        <w:t>Con</w:t>
      </w:r>
      <w:r w:rsidR="008F0016" w:rsidRPr="002A42A1">
        <w:rPr>
          <w:rFonts w:asciiTheme="majorHAnsi" w:hAnsiTheme="majorHAnsi"/>
          <w:b/>
          <w:sz w:val="26"/>
          <w:szCs w:val="26"/>
        </w:rPr>
        <w:t xml:space="preserve">siliului Național al Rectorilor, măsurile care se impun </w:t>
      </w:r>
      <w:r w:rsidR="006802AA">
        <w:rPr>
          <w:rFonts w:asciiTheme="majorHAnsi" w:hAnsiTheme="majorHAnsi"/>
          <w:b/>
          <w:sz w:val="26"/>
          <w:szCs w:val="26"/>
        </w:rPr>
        <w:t>în vederea reluării cursurilor și a finalizării cu succes a anului școlar și universitar 2019/2020.</w:t>
      </w:r>
    </w:p>
    <w:p w14:paraId="3102AE14" w14:textId="77777777" w:rsidR="008F0016" w:rsidRPr="002A42A1" w:rsidRDefault="008F0016" w:rsidP="00CB44B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7CA7B275" w14:textId="18E0C8B9" w:rsidR="008F0016" w:rsidRPr="00DE35F2" w:rsidRDefault="006802AA" w:rsidP="00CB44B0">
      <w:pPr>
        <w:spacing w:line="240" w:lineRule="auto"/>
        <w:contextualSpacing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În contextul informațiilor deținute până în prezent privind evoluția pandemiei de SARS-CoV-2, scenariul de lucru prevede reluarea cursurilor în învățământul preuniversitar și universitar în decursul lunii iunie.</w:t>
      </w:r>
      <w:r w:rsidR="00391355">
        <w:rPr>
          <w:rFonts w:asciiTheme="majorHAnsi" w:hAnsiTheme="majorHAnsi"/>
          <w:sz w:val="24"/>
          <w:szCs w:val="24"/>
        </w:rPr>
        <w:t xml:space="preserve"> </w:t>
      </w:r>
      <w:r w:rsidR="00391355" w:rsidRPr="00DE35F2">
        <w:rPr>
          <w:rFonts w:asciiTheme="majorHAnsi" w:hAnsiTheme="majorHAnsi"/>
          <w:color w:val="auto"/>
          <w:sz w:val="24"/>
          <w:szCs w:val="24"/>
        </w:rPr>
        <w:t>În funcție de evoluția pandemiei</w:t>
      </w:r>
      <w:r w:rsidR="00DE35F2" w:rsidRPr="00DE35F2">
        <w:rPr>
          <w:rFonts w:asciiTheme="majorHAnsi" w:hAnsiTheme="majorHAnsi"/>
          <w:color w:val="auto"/>
          <w:sz w:val="24"/>
          <w:szCs w:val="24"/>
        </w:rPr>
        <w:t xml:space="preserve"> de coronavirus, aceste măsuri pot</w:t>
      </w:r>
      <w:r w:rsidR="00391355" w:rsidRPr="00DE35F2">
        <w:rPr>
          <w:rFonts w:asciiTheme="majorHAnsi" w:hAnsiTheme="majorHAnsi"/>
          <w:color w:val="auto"/>
          <w:sz w:val="24"/>
          <w:szCs w:val="24"/>
        </w:rPr>
        <w:t xml:space="preserve"> suferi modificări. </w:t>
      </w:r>
    </w:p>
    <w:p w14:paraId="34FB9587" w14:textId="77777777" w:rsidR="000531B7" w:rsidRPr="002A42A1" w:rsidRDefault="000531B7" w:rsidP="00CB44B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2431D6FB" w14:textId="0ACB7391" w:rsidR="006802AA" w:rsidRDefault="000531B7" w:rsidP="00CB44B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2A42A1">
        <w:rPr>
          <w:rFonts w:asciiTheme="majorHAnsi" w:hAnsiTheme="majorHAnsi"/>
          <w:sz w:val="24"/>
          <w:szCs w:val="24"/>
        </w:rPr>
        <w:t>În cadrul întâlnirii cu partenerii educaționali, s-au mai stabilit următoarele măsuri:</w:t>
      </w:r>
    </w:p>
    <w:p w14:paraId="271126CA" w14:textId="18C07F8F" w:rsidR="006802AA" w:rsidRDefault="006802AA" w:rsidP="00CB44B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2A42A1">
        <w:rPr>
          <w:rFonts w:asciiTheme="majorHAnsi" w:hAnsiTheme="majorHAnsi"/>
          <w:sz w:val="24"/>
          <w:szCs w:val="24"/>
          <w:lang w:val="ro-RO"/>
        </w:rPr>
        <w:t>În funcție de data la care se vor relua cursurile</w:t>
      </w:r>
      <w:r>
        <w:rPr>
          <w:rFonts w:asciiTheme="majorHAnsi" w:hAnsiTheme="majorHAnsi"/>
          <w:sz w:val="24"/>
          <w:szCs w:val="24"/>
          <w:lang w:val="ro-RO"/>
        </w:rPr>
        <w:t>,</w:t>
      </w:r>
      <w:r w:rsidRPr="002A42A1">
        <w:rPr>
          <w:rFonts w:asciiTheme="majorHAnsi" w:hAnsiTheme="majorHAnsi"/>
          <w:sz w:val="24"/>
          <w:szCs w:val="24"/>
          <w:lang w:val="ro-RO"/>
        </w:rPr>
        <w:t xml:space="preserve"> probele scrise ale Evaluării Naționale și a Examenului de Bacalaureat ar putea fi organizate în luna iulie.  </w:t>
      </w:r>
    </w:p>
    <w:p w14:paraId="38414929" w14:textId="77777777" w:rsidR="006802AA" w:rsidRDefault="006802AA" w:rsidP="00CB44B0">
      <w:pPr>
        <w:pStyle w:val="ListParagraph"/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75C9646F" w14:textId="62210C93" w:rsidR="006802AA" w:rsidRDefault="006802AA" w:rsidP="00CB44B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2A42A1">
        <w:rPr>
          <w:rFonts w:asciiTheme="majorHAnsi" w:hAnsiTheme="majorHAnsi"/>
          <w:sz w:val="24"/>
          <w:szCs w:val="24"/>
          <w:lang w:val="ro-RO"/>
        </w:rPr>
        <w:t>Programa de examen pentru Evaluarea Națională și Bacalaureat nu va cuprinde materia aferentă semestrului al II-lea.</w:t>
      </w:r>
    </w:p>
    <w:p w14:paraId="722DAFD9" w14:textId="77777777" w:rsidR="006802AA" w:rsidRPr="006802AA" w:rsidRDefault="006802AA" w:rsidP="00CB44B0">
      <w:pPr>
        <w:pStyle w:val="ListParagraph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3FA2C031" w14:textId="77777777" w:rsidR="006802AA" w:rsidRDefault="006802AA" w:rsidP="00CB44B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2A42A1">
        <w:rPr>
          <w:rFonts w:asciiTheme="majorHAnsi" w:hAnsiTheme="majorHAnsi"/>
          <w:sz w:val="24"/>
          <w:szCs w:val="24"/>
          <w:lang w:val="ro-RO"/>
        </w:rPr>
        <w:t xml:space="preserve">Evaluările pentru clasele a II-a, a IV-a, a VI-a, olimpiadele și concursurile școlare, precum și simulările pentru examenele naționale vor fi anulate. </w:t>
      </w:r>
    </w:p>
    <w:p w14:paraId="76FF68D5" w14:textId="77777777" w:rsidR="006802AA" w:rsidRPr="006802AA" w:rsidRDefault="006802AA" w:rsidP="00CB44B0">
      <w:pPr>
        <w:pStyle w:val="ListParagraph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184A572F" w14:textId="47912543" w:rsidR="006802AA" w:rsidRDefault="006802AA" w:rsidP="00CB44B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2A42A1">
        <w:rPr>
          <w:rFonts w:asciiTheme="majorHAnsi" w:hAnsiTheme="majorHAnsi"/>
          <w:sz w:val="24"/>
          <w:szCs w:val="24"/>
          <w:lang w:val="ro-RO"/>
        </w:rPr>
        <w:t>Sesiunea specială a Examenul Național de Bacalaureat pentru olimpici va fi anulată.</w:t>
      </w:r>
    </w:p>
    <w:p w14:paraId="7508E5B8" w14:textId="77777777" w:rsidR="006802AA" w:rsidRPr="006802AA" w:rsidRDefault="006802AA" w:rsidP="00CB44B0">
      <w:pPr>
        <w:pStyle w:val="ListParagraph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058549BF" w14:textId="77777777" w:rsidR="006802AA" w:rsidRDefault="006802AA" w:rsidP="00CB44B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2A42A1">
        <w:rPr>
          <w:rFonts w:asciiTheme="majorHAnsi" w:hAnsiTheme="majorHAnsi"/>
          <w:sz w:val="24"/>
          <w:szCs w:val="24"/>
          <w:lang w:val="ro-RO"/>
        </w:rPr>
        <w:t xml:space="preserve">Situația școlară a elevilor se va încheia cu minimum două note, la care se adaugă nota din teză, acolo unde este cazul. </w:t>
      </w:r>
    </w:p>
    <w:p w14:paraId="782ADEA3" w14:textId="77777777" w:rsidR="006802AA" w:rsidRPr="006802AA" w:rsidRDefault="006802AA" w:rsidP="00CB44B0">
      <w:pPr>
        <w:pStyle w:val="ListParagraph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4DA61971" w14:textId="2BA13624" w:rsidR="006802AA" w:rsidRDefault="006802AA" w:rsidP="00CB44B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2A42A1">
        <w:rPr>
          <w:rFonts w:asciiTheme="majorHAnsi" w:hAnsiTheme="majorHAnsi"/>
          <w:sz w:val="24"/>
          <w:szCs w:val="24"/>
          <w:lang w:val="ro-RO"/>
        </w:rPr>
        <w:t xml:space="preserve">Subiectele pentru tezele de pe semestrul al II-lea vor fi concepute doar din ce s-a studiat până la data de 11 martie 2020. </w:t>
      </w:r>
    </w:p>
    <w:p w14:paraId="060B0196" w14:textId="77777777" w:rsidR="006802AA" w:rsidRPr="006802AA" w:rsidRDefault="006802AA" w:rsidP="00CB44B0">
      <w:pPr>
        <w:pStyle w:val="ListParagraph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4BA43652" w14:textId="77777777" w:rsidR="006802AA" w:rsidRPr="002A42A1" w:rsidRDefault="006802AA" w:rsidP="00CB44B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2A42A1">
        <w:rPr>
          <w:rFonts w:asciiTheme="majorHAnsi" w:hAnsiTheme="majorHAnsi"/>
          <w:sz w:val="24"/>
          <w:szCs w:val="24"/>
          <w:lang w:val="ro-RO"/>
        </w:rPr>
        <w:t>Calendarele pentru înscrierea în clasa pregătitoare, grădiniță și cel de mobilitate a personalului didactic vor fi decalate.</w:t>
      </w:r>
    </w:p>
    <w:p w14:paraId="34E66705" w14:textId="0C39BA1B" w:rsidR="006802AA" w:rsidRDefault="006802AA" w:rsidP="00CB44B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Calendarele afere</w:t>
      </w:r>
      <w:r w:rsidR="00CB44B0">
        <w:rPr>
          <w:rFonts w:asciiTheme="majorHAnsi" w:hAnsiTheme="majorHAnsi"/>
          <w:sz w:val="24"/>
          <w:szCs w:val="24"/>
        </w:rPr>
        <w:t>nte proceselor amintite mai sus</w:t>
      </w:r>
      <w:r>
        <w:rPr>
          <w:rFonts w:asciiTheme="majorHAnsi" w:hAnsiTheme="majorHAnsi"/>
          <w:sz w:val="24"/>
          <w:szCs w:val="24"/>
        </w:rPr>
        <w:t xml:space="preserve"> vor fi anunțate imediat ce va fi stabilită data reînceperii cursurilor.</w:t>
      </w:r>
    </w:p>
    <w:p w14:paraId="61AD67D4" w14:textId="31FF0373" w:rsidR="00C80C8B" w:rsidRDefault="00C80C8B" w:rsidP="00CB44B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În învățămâ</w:t>
      </w:r>
      <w:r w:rsidRPr="00C80C8B">
        <w:rPr>
          <w:rFonts w:asciiTheme="majorHAnsi" w:hAnsiTheme="majorHAnsi"/>
          <w:sz w:val="24"/>
          <w:szCs w:val="24"/>
        </w:rPr>
        <w:t>ntul superior</w:t>
      </w:r>
      <w:r>
        <w:rPr>
          <w:rFonts w:asciiTheme="majorHAnsi" w:hAnsiTheme="majorHAnsi"/>
          <w:sz w:val="24"/>
          <w:szCs w:val="24"/>
        </w:rPr>
        <w:t>, activitățile se vor desfăș</w:t>
      </w:r>
      <w:r w:rsidRPr="00C80C8B">
        <w:rPr>
          <w:rFonts w:asciiTheme="majorHAnsi" w:hAnsiTheme="majorHAnsi"/>
          <w:sz w:val="24"/>
          <w:szCs w:val="24"/>
        </w:rPr>
        <w:t xml:space="preserve">ura </w:t>
      </w:r>
      <w:r>
        <w:rPr>
          <w:rFonts w:asciiTheme="majorHAnsi" w:hAnsiTheme="majorHAnsi"/>
          <w:sz w:val="24"/>
          <w:szCs w:val="24"/>
        </w:rPr>
        <w:t xml:space="preserve">în mediul </w:t>
      </w:r>
      <w:r w:rsidRPr="00C80C8B">
        <w:rPr>
          <w:rFonts w:asciiTheme="majorHAnsi" w:hAnsiTheme="majorHAnsi"/>
          <w:sz w:val="24"/>
          <w:szCs w:val="24"/>
        </w:rPr>
        <w:t>online</w:t>
      </w:r>
      <w:r>
        <w:rPr>
          <w:rFonts w:asciiTheme="majorHAnsi" w:hAnsiTheme="majorHAnsi"/>
          <w:sz w:val="24"/>
          <w:szCs w:val="24"/>
        </w:rPr>
        <w:t>. Activitățile care impun interacțiunea „față în față” vor fi</w:t>
      </w:r>
      <w:r w:rsidRPr="00C80C8B">
        <w:rPr>
          <w:rFonts w:asciiTheme="majorHAnsi" w:hAnsiTheme="majorHAnsi"/>
          <w:sz w:val="24"/>
          <w:szCs w:val="24"/>
        </w:rPr>
        <w:t xml:space="preserve"> r</w:t>
      </w:r>
      <w:r>
        <w:rPr>
          <w:rFonts w:asciiTheme="majorHAnsi" w:hAnsiTheme="majorHAnsi"/>
          <w:sz w:val="24"/>
          <w:szCs w:val="24"/>
        </w:rPr>
        <w:t>ecuperate modular, intensiv, după î</w:t>
      </w:r>
      <w:r w:rsidRPr="00C80C8B">
        <w:rPr>
          <w:rFonts w:asciiTheme="majorHAnsi" w:hAnsiTheme="majorHAnsi"/>
          <w:sz w:val="24"/>
          <w:szCs w:val="24"/>
        </w:rPr>
        <w:t xml:space="preserve">ncetarea </w:t>
      </w:r>
      <w:r>
        <w:rPr>
          <w:rFonts w:asciiTheme="majorHAnsi" w:hAnsiTheme="majorHAnsi"/>
          <w:sz w:val="24"/>
          <w:szCs w:val="24"/>
        </w:rPr>
        <w:t>stării de urgență</w:t>
      </w:r>
      <w:r w:rsidRPr="00C80C8B">
        <w:rPr>
          <w:rFonts w:asciiTheme="majorHAnsi" w:hAnsiTheme="majorHAnsi"/>
          <w:sz w:val="24"/>
          <w:szCs w:val="24"/>
        </w:rPr>
        <w:t>.</w:t>
      </w:r>
    </w:p>
    <w:p w14:paraId="52B4318F" w14:textId="77777777" w:rsidR="00A21969" w:rsidRDefault="00A21969" w:rsidP="00CB44B0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65DE2605" w14:textId="77777777" w:rsidR="00A21969" w:rsidRDefault="00A21969" w:rsidP="00CB44B0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108F4F77" w14:textId="16657D50" w:rsidR="006802AA" w:rsidRPr="00A21969" w:rsidRDefault="00C80C8B" w:rsidP="00CB44B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Admiterea la ciclul de licență în învățământul superior</w:t>
      </w:r>
      <w:r w:rsidRPr="00C80C8B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 xml:space="preserve"> va organiza după susținerea E</w:t>
      </w:r>
      <w:r w:rsidRPr="00C80C8B">
        <w:rPr>
          <w:rFonts w:asciiTheme="majorHAnsi" w:hAnsiTheme="majorHAnsi"/>
          <w:sz w:val="24"/>
          <w:szCs w:val="24"/>
        </w:rPr>
        <w:t>xamenului</w:t>
      </w:r>
      <w:r>
        <w:rPr>
          <w:rFonts w:asciiTheme="majorHAnsi" w:hAnsiTheme="majorHAnsi"/>
          <w:sz w:val="24"/>
          <w:szCs w:val="24"/>
        </w:rPr>
        <w:t xml:space="preserve"> Național de Bacalaureat, iar admiterea la masterat sau </w:t>
      </w:r>
      <w:r w:rsidRPr="00C80C8B">
        <w:rPr>
          <w:rFonts w:asciiTheme="majorHAnsi" w:hAnsiTheme="majorHAnsi"/>
          <w:sz w:val="24"/>
          <w:szCs w:val="24"/>
        </w:rPr>
        <w:t>doctorat se</w:t>
      </w:r>
      <w:r>
        <w:rPr>
          <w:rFonts w:asciiTheme="majorHAnsi" w:hAnsiTheme="majorHAnsi"/>
          <w:sz w:val="24"/>
          <w:szCs w:val="24"/>
        </w:rPr>
        <w:t xml:space="preserve"> va organiza după susț</w:t>
      </w:r>
      <w:r w:rsidRPr="00C80C8B">
        <w:rPr>
          <w:rFonts w:asciiTheme="majorHAnsi" w:hAnsiTheme="majorHAnsi"/>
          <w:sz w:val="24"/>
          <w:szCs w:val="24"/>
        </w:rPr>
        <w:t>inerea ex</w:t>
      </w:r>
      <w:r>
        <w:rPr>
          <w:rFonts w:asciiTheme="majorHAnsi" w:hAnsiTheme="majorHAnsi"/>
          <w:sz w:val="24"/>
          <w:szCs w:val="24"/>
        </w:rPr>
        <w:t>amenului de licență sau disertaț</w:t>
      </w:r>
      <w:r w:rsidRPr="00C80C8B">
        <w:rPr>
          <w:rFonts w:asciiTheme="majorHAnsi" w:hAnsiTheme="majorHAnsi"/>
          <w:sz w:val="24"/>
          <w:szCs w:val="24"/>
        </w:rPr>
        <w:t>ie.</w:t>
      </w:r>
    </w:p>
    <w:p w14:paraId="677A09DA" w14:textId="75815CAD" w:rsidR="008A5B30" w:rsidRPr="00FF1D8E" w:rsidRDefault="00A21969" w:rsidP="00CB44B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A21969">
        <w:rPr>
          <w:rFonts w:asciiTheme="majorHAnsi" w:hAnsiTheme="majorHAnsi"/>
          <w:sz w:val="24"/>
          <w:szCs w:val="24"/>
        </w:rPr>
        <w:t>Ministerul Educației și Cercetării urmărește cu mare atenție ce se întâmplă în celelalte s</w:t>
      </w:r>
      <w:r w:rsidR="0097440C">
        <w:rPr>
          <w:rFonts w:asciiTheme="majorHAnsi" w:hAnsiTheme="majorHAnsi"/>
          <w:sz w:val="24"/>
          <w:szCs w:val="24"/>
        </w:rPr>
        <w:t>tate, iar Monica Anisie, ministrul E</w:t>
      </w:r>
      <w:r w:rsidRPr="00A21969">
        <w:rPr>
          <w:rFonts w:asciiTheme="majorHAnsi" w:hAnsiTheme="majorHAnsi"/>
          <w:sz w:val="24"/>
          <w:szCs w:val="24"/>
        </w:rPr>
        <w:t>ducației și Cercetării se află în contact direct cu toți miniștrii educației, astfel încât, în funcție de evoluția situației, să existe o corelare între deciziile care se iau la nivelul țărilor UE.</w:t>
      </w:r>
    </w:p>
    <w:p w14:paraId="26FCCEBF" w14:textId="626F1BD6" w:rsidR="00912898" w:rsidRPr="008A4ABF" w:rsidRDefault="00912898" w:rsidP="001E0B8F">
      <w:pPr>
        <w:spacing w:before="0" w:after="0" w:line="240" w:lineRule="auto"/>
        <w:rPr>
          <w:rFonts w:ascii="Calibri" w:hAnsi="Calibri" w:cs="Calibri"/>
        </w:rPr>
      </w:pPr>
    </w:p>
    <w:sectPr w:rsidR="00912898" w:rsidRPr="008A4ABF" w:rsidSect="00EA6515">
      <w:headerReference w:type="default" r:id="rId7"/>
      <w:footerReference w:type="default" r:id="rId8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F12F" w14:textId="77777777" w:rsidR="005E2893" w:rsidRDefault="005E2893" w:rsidP="009772BD">
      <w:r>
        <w:separator/>
      </w:r>
    </w:p>
  </w:endnote>
  <w:endnote w:type="continuationSeparator" w:id="0">
    <w:p w14:paraId="43D5F613" w14:textId="77777777" w:rsidR="005E2893" w:rsidRDefault="005E289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F4DA" w14:textId="77777777" w:rsidR="00D062A6" w:rsidRPr="008E5356" w:rsidRDefault="00D062A6" w:rsidP="00D062A6">
    <w:pPr>
      <w:pStyle w:val="Footer"/>
      <w:spacing w:before="0"/>
      <w:rPr>
        <w:sz w:val="14"/>
        <w:szCs w:val="14"/>
      </w:rPr>
    </w:pPr>
    <w:r w:rsidRPr="008E5356">
      <w:rPr>
        <w:sz w:val="14"/>
        <w:szCs w:val="14"/>
      </w:rPr>
      <w:t>Str. G-ral H. M. Berthelot nr. 28-30, Sector 1, București, România</w:t>
    </w:r>
    <w:r w:rsidRPr="008E5356">
      <w:rPr>
        <w:sz w:val="14"/>
        <w:szCs w:val="14"/>
      </w:rPr>
      <w:tab/>
    </w:r>
    <w:r w:rsidRPr="008E5356">
      <w:rPr>
        <w:sz w:val="14"/>
        <w:szCs w:val="14"/>
      </w:rPr>
      <w:tab/>
    </w:r>
  </w:p>
  <w:p w14:paraId="392A3E8A" w14:textId="77777777" w:rsidR="00D062A6" w:rsidRPr="008E5356" w:rsidRDefault="00D062A6" w:rsidP="00D062A6">
    <w:pPr>
      <w:pStyle w:val="Footer"/>
      <w:spacing w:before="0"/>
      <w:rPr>
        <w:sz w:val="14"/>
        <w:szCs w:val="14"/>
      </w:rPr>
    </w:pPr>
    <w:r w:rsidRPr="008E5356">
      <w:rPr>
        <w:sz w:val="14"/>
        <w:szCs w:val="14"/>
      </w:rPr>
      <w:t>Tel.: +4 021 405 62 23 Fax: +4 021 312 47 19 E-mail: cabinet@edu.gov.ro</w:t>
    </w:r>
  </w:p>
  <w:p w14:paraId="47EBF332" w14:textId="0F58BE1D" w:rsidR="00863370" w:rsidRPr="00D062A6" w:rsidRDefault="00D062A6" w:rsidP="00D062A6">
    <w:pPr>
      <w:pStyle w:val="Footer"/>
      <w:spacing w:before="0"/>
      <w:rPr>
        <w:b/>
      </w:rPr>
    </w:pPr>
    <w:r w:rsidRPr="008E5356">
      <w:rPr>
        <w:b/>
        <w:sz w:val="14"/>
        <w:szCs w:val="14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F6AA3" w14:textId="77777777" w:rsidR="005E2893" w:rsidRDefault="005E2893" w:rsidP="009772BD">
      <w:r>
        <w:separator/>
      </w:r>
    </w:p>
  </w:footnote>
  <w:footnote w:type="continuationSeparator" w:id="0">
    <w:p w14:paraId="5935CA74" w14:textId="77777777" w:rsidR="005E2893" w:rsidRDefault="005E2893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68E3" w14:textId="77777777" w:rsidR="003273BB" w:rsidRDefault="00256C78" w:rsidP="00E01A49">
    <w:pPr>
      <w:pStyle w:val="Header"/>
      <w:tabs>
        <w:tab w:val="left" w:pos="142"/>
      </w:tabs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 wp14:anchorId="77D7977B" wp14:editId="24DB5008">
          <wp:simplePos x="0" y="0"/>
          <wp:positionH relativeFrom="margin">
            <wp:align>left</wp:align>
          </wp:positionH>
          <wp:positionV relativeFrom="paragraph">
            <wp:posOffset>275607</wp:posOffset>
          </wp:positionV>
          <wp:extent cx="3504009" cy="771525"/>
          <wp:effectExtent l="0" t="0" r="1270" b="0"/>
          <wp:wrapNone/>
          <wp:docPr id="3" name="Picture 3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0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D645E9">
      <w:tab/>
    </w:r>
    <w:r w:rsidR="00D645E9">
      <w:tab/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37A2C"/>
    <w:multiLevelType w:val="hybridMultilevel"/>
    <w:tmpl w:val="96C483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CD9"/>
    <w:multiLevelType w:val="hybridMultilevel"/>
    <w:tmpl w:val="CFC69DC2"/>
    <w:lvl w:ilvl="0" w:tplc="985EB3E4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19C22D5"/>
    <w:multiLevelType w:val="hybridMultilevel"/>
    <w:tmpl w:val="E2046CD6"/>
    <w:lvl w:ilvl="0" w:tplc="BF12B608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F0765"/>
    <w:multiLevelType w:val="hybridMultilevel"/>
    <w:tmpl w:val="184EA9B8"/>
    <w:lvl w:ilvl="0" w:tplc="E022281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208B"/>
    <w:rsid w:val="00011BC1"/>
    <w:rsid w:val="000142DB"/>
    <w:rsid w:val="00014D41"/>
    <w:rsid w:val="00022B87"/>
    <w:rsid w:val="000241A1"/>
    <w:rsid w:val="00030AEF"/>
    <w:rsid w:val="000333BD"/>
    <w:rsid w:val="00034522"/>
    <w:rsid w:val="000531B7"/>
    <w:rsid w:val="00057386"/>
    <w:rsid w:val="000642C3"/>
    <w:rsid w:val="000745D4"/>
    <w:rsid w:val="000966ED"/>
    <w:rsid w:val="000E0D23"/>
    <w:rsid w:val="00117029"/>
    <w:rsid w:val="001466DC"/>
    <w:rsid w:val="00163869"/>
    <w:rsid w:val="0016533E"/>
    <w:rsid w:val="0018079F"/>
    <w:rsid w:val="001E0B8F"/>
    <w:rsid w:val="001E706C"/>
    <w:rsid w:val="002133EA"/>
    <w:rsid w:val="00213EE5"/>
    <w:rsid w:val="00217793"/>
    <w:rsid w:val="0022423E"/>
    <w:rsid w:val="002328DD"/>
    <w:rsid w:val="00241BDC"/>
    <w:rsid w:val="00256C78"/>
    <w:rsid w:val="002667C8"/>
    <w:rsid w:val="00292686"/>
    <w:rsid w:val="0029385A"/>
    <w:rsid w:val="00295AE7"/>
    <w:rsid w:val="002A06EB"/>
    <w:rsid w:val="002A12F9"/>
    <w:rsid w:val="002A32CA"/>
    <w:rsid w:val="002A42A1"/>
    <w:rsid w:val="002A76F3"/>
    <w:rsid w:val="002B0074"/>
    <w:rsid w:val="002D587E"/>
    <w:rsid w:val="002E2FD5"/>
    <w:rsid w:val="002F4752"/>
    <w:rsid w:val="00310A7F"/>
    <w:rsid w:val="00310D22"/>
    <w:rsid w:val="00321BB0"/>
    <w:rsid w:val="003273BB"/>
    <w:rsid w:val="00355F9F"/>
    <w:rsid w:val="00362DEA"/>
    <w:rsid w:val="00363538"/>
    <w:rsid w:val="00365E0D"/>
    <w:rsid w:val="003779DA"/>
    <w:rsid w:val="00391355"/>
    <w:rsid w:val="00391F06"/>
    <w:rsid w:val="00393413"/>
    <w:rsid w:val="00395462"/>
    <w:rsid w:val="003960C4"/>
    <w:rsid w:val="003977F1"/>
    <w:rsid w:val="003A339E"/>
    <w:rsid w:val="003A7E55"/>
    <w:rsid w:val="003B3C9A"/>
    <w:rsid w:val="003B7E30"/>
    <w:rsid w:val="003D089B"/>
    <w:rsid w:val="003D2449"/>
    <w:rsid w:val="003D2870"/>
    <w:rsid w:val="0040453A"/>
    <w:rsid w:val="00422480"/>
    <w:rsid w:val="00441334"/>
    <w:rsid w:val="00443659"/>
    <w:rsid w:val="004521F0"/>
    <w:rsid w:val="0045439E"/>
    <w:rsid w:val="00470685"/>
    <w:rsid w:val="00472171"/>
    <w:rsid w:val="00472F34"/>
    <w:rsid w:val="00485FA5"/>
    <w:rsid w:val="00491BD9"/>
    <w:rsid w:val="004A1704"/>
    <w:rsid w:val="004A26BA"/>
    <w:rsid w:val="004A2F27"/>
    <w:rsid w:val="004C4644"/>
    <w:rsid w:val="004E5407"/>
    <w:rsid w:val="00515DF2"/>
    <w:rsid w:val="00525393"/>
    <w:rsid w:val="005273A4"/>
    <w:rsid w:val="00536135"/>
    <w:rsid w:val="005378B1"/>
    <w:rsid w:val="0054163A"/>
    <w:rsid w:val="005700B3"/>
    <w:rsid w:val="00591E76"/>
    <w:rsid w:val="005A1834"/>
    <w:rsid w:val="005C0CFF"/>
    <w:rsid w:val="005C3B60"/>
    <w:rsid w:val="005E2893"/>
    <w:rsid w:val="005F0C5D"/>
    <w:rsid w:val="005F3D14"/>
    <w:rsid w:val="00601A19"/>
    <w:rsid w:val="006230DF"/>
    <w:rsid w:val="00645C4A"/>
    <w:rsid w:val="0065650C"/>
    <w:rsid w:val="00657C41"/>
    <w:rsid w:val="006802AA"/>
    <w:rsid w:val="00681D9C"/>
    <w:rsid w:val="006A55A7"/>
    <w:rsid w:val="006B5748"/>
    <w:rsid w:val="006B7A9F"/>
    <w:rsid w:val="006D6464"/>
    <w:rsid w:val="006D74E3"/>
    <w:rsid w:val="006F099A"/>
    <w:rsid w:val="00700563"/>
    <w:rsid w:val="00702D6A"/>
    <w:rsid w:val="00703B0D"/>
    <w:rsid w:val="00713752"/>
    <w:rsid w:val="0071770D"/>
    <w:rsid w:val="00721090"/>
    <w:rsid w:val="00732400"/>
    <w:rsid w:val="007368BA"/>
    <w:rsid w:val="00741713"/>
    <w:rsid w:val="00746BF0"/>
    <w:rsid w:val="007508C7"/>
    <w:rsid w:val="007544FE"/>
    <w:rsid w:val="007817C2"/>
    <w:rsid w:val="00783435"/>
    <w:rsid w:val="007862DD"/>
    <w:rsid w:val="00790084"/>
    <w:rsid w:val="00790829"/>
    <w:rsid w:val="00797E61"/>
    <w:rsid w:val="007B137B"/>
    <w:rsid w:val="007B55DB"/>
    <w:rsid w:val="007C0292"/>
    <w:rsid w:val="007C5F93"/>
    <w:rsid w:val="007E4E1F"/>
    <w:rsid w:val="007F256A"/>
    <w:rsid w:val="007F3E70"/>
    <w:rsid w:val="007F57DF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68E5"/>
    <w:rsid w:val="00876B83"/>
    <w:rsid w:val="0088039C"/>
    <w:rsid w:val="0088516C"/>
    <w:rsid w:val="00885391"/>
    <w:rsid w:val="008A1FFC"/>
    <w:rsid w:val="008A2ED5"/>
    <w:rsid w:val="008A4ABF"/>
    <w:rsid w:val="008A5B30"/>
    <w:rsid w:val="008A7914"/>
    <w:rsid w:val="008D5B4A"/>
    <w:rsid w:val="008F0016"/>
    <w:rsid w:val="009033C6"/>
    <w:rsid w:val="00907E0F"/>
    <w:rsid w:val="00912898"/>
    <w:rsid w:val="00913A5B"/>
    <w:rsid w:val="00921F90"/>
    <w:rsid w:val="00922BE2"/>
    <w:rsid w:val="009261F4"/>
    <w:rsid w:val="0092715E"/>
    <w:rsid w:val="0093588E"/>
    <w:rsid w:val="00942206"/>
    <w:rsid w:val="009430B8"/>
    <w:rsid w:val="009471C3"/>
    <w:rsid w:val="00957EA2"/>
    <w:rsid w:val="0097440C"/>
    <w:rsid w:val="00975135"/>
    <w:rsid w:val="009772BD"/>
    <w:rsid w:val="00977504"/>
    <w:rsid w:val="00980D3F"/>
    <w:rsid w:val="009909A2"/>
    <w:rsid w:val="0099434A"/>
    <w:rsid w:val="009A1F5C"/>
    <w:rsid w:val="009C7C17"/>
    <w:rsid w:val="009C7D87"/>
    <w:rsid w:val="00A04A00"/>
    <w:rsid w:val="00A21969"/>
    <w:rsid w:val="00A30C55"/>
    <w:rsid w:val="00A526E8"/>
    <w:rsid w:val="00A55E5C"/>
    <w:rsid w:val="00A664FA"/>
    <w:rsid w:val="00A723F1"/>
    <w:rsid w:val="00A82204"/>
    <w:rsid w:val="00AA169F"/>
    <w:rsid w:val="00AC7F20"/>
    <w:rsid w:val="00AD2F5B"/>
    <w:rsid w:val="00AD5620"/>
    <w:rsid w:val="00AD5BE8"/>
    <w:rsid w:val="00B26BCC"/>
    <w:rsid w:val="00B276FE"/>
    <w:rsid w:val="00B40543"/>
    <w:rsid w:val="00B444E7"/>
    <w:rsid w:val="00B45D5C"/>
    <w:rsid w:val="00B7201D"/>
    <w:rsid w:val="00B72297"/>
    <w:rsid w:val="00B8102A"/>
    <w:rsid w:val="00B8256C"/>
    <w:rsid w:val="00B90707"/>
    <w:rsid w:val="00B94D61"/>
    <w:rsid w:val="00BB3C4A"/>
    <w:rsid w:val="00BB54C5"/>
    <w:rsid w:val="00BC14A4"/>
    <w:rsid w:val="00BD1A83"/>
    <w:rsid w:val="00BD50D5"/>
    <w:rsid w:val="00BD6DE7"/>
    <w:rsid w:val="00BF1138"/>
    <w:rsid w:val="00C16464"/>
    <w:rsid w:val="00C22C0B"/>
    <w:rsid w:val="00C36B71"/>
    <w:rsid w:val="00C42B81"/>
    <w:rsid w:val="00C57AE6"/>
    <w:rsid w:val="00C57AF0"/>
    <w:rsid w:val="00C80C8B"/>
    <w:rsid w:val="00C82F78"/>
    <w:rsid w:val="00C9678C"/>
    <w:rsid w:val="00CA75E8"/>
    <w:rsid w:val="00CB126C"/>
    <w:rsid w:val="00CB44B0"/>
    <w:rsid w:val="00CC767D"/>
    <w:rsid w:val="00CE6960"/>
    <w:rsid w:val="00D062A6"/>
    <w:rsid w:val="00D0790F"/>
    <w:rsid w:val="00D101B3"/>
    <w:rsid w:val="00D1613A"/>
    <w:rsid w:val="00D453AB"/>
    <w:rsid w:val="00D645E9"/>
    <w:rsid w:val="00D65013"/>
    <w:rsid w:val="00D8160A"/>
    <w:rsid w:val="00D841AC"/>
    <w:rsid w:val="00D8578B"/>
    <w:rsid w:val="00DC54D1"/>
    <w:rsid w:val="00DD0AEC"/>
    <w:rsid w:val="00DD3787"/>
    <w:rsid w:val="00DE05B4"/>
    <w:rsid w:val="00DE2648"/>
    <w:rsid w:val="00DE35F2"/>
    <w:rsid w:val="00DE7947"/>
    <w:rsid w:val="00DF792C"/>
    <w:rsid w:val="00E01A49"/>
    <w:rsid w:val="00E02B0A"/>
    <w:rsid w:val="00E2442D"/>
    <w:rsid w:val="00E31F3D"/>
    <w:rsid w:val="00E3372A"/>
    <w:rsid w:val="00E3496B"/>
    <w:rsid w:val="00E4059C"/>
    <w:rsid w:val="00E41EF3"/>
    <w:rsid w:val="00E4219A"/>
    <w:rsid w:val="00E465C8"/>
    <w:rsid w:val="00E502A4"/>
    <w:rsid w:val="00E55B7A"/>
    <w:rsid w:val="00E56D0D"/>
    <w:rsid w:val="00E574EC"/>
    <w:rsid w:val="00E6439D"/>
    <w:rsid w:val="00E83B6C"/>
    <w:rsid w:val="00E871D7"/>
    <w:rsid w:val="00E87461"/>
    <w:rsid w:val="00E97C9F"/>
    <w:rsid w:val="00EA04CA"/>
    <w:rsid w:val="00EA080A"/>
    <w:rsid w:val="00EA5F1F"/>
    <w:rsid w:val="00EA6515"/>
    <w:rsid w:val="00EB7DD9"/>
    <w:rsid w:val="00ED7F86"/>
    <w:rsid w:val="00EF427C"/>
    <w:rsid w:val="00EF55EC"/>
    <w:rsid w:val="00F01C73"/>
    <w:rsid w:val="00F0621F"/>
    <w:rsid w:val="00F07F22"/>
    <w:rsid w:val="00F371AD"/>
    <w:rsid w:val="00F37A92"/>
    <w:rsid w:val="00F41064"/>
    <w:rsid w:val="00F44B22"/>
    <w:rsid w:val="00F57F84"/>
    <w:rsid w:val="00F60AE2"/>
    <w:rsid w:val="00F60BDB"/>
    <w:rsid w:val="00F6769D"/>
    <w:rsid w:val="00F80F91"/>
    <w:rsid w:val="00F80FAC"/>
    <w:rsid w:val="00F82CAC"/>
    <w:rsid w:val="00F8667F"/>
    <w:rsid w:val="00F916CE"/>
    <w:rsid w:val="00FB3129"/>
    <w:rsid w:val="00FB37C4"/>
    <w:rsid w:val="00FD6CA6"/>
    <w:rsid w:val="00FE0C3B"/>
    <w:rsid w:val="00FE7405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BF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2020-04-07T13:31:00Z</dcterms:created>
  <dcterms:modified xsi:type="dcterms:W3CDTF">2020-04-07T13:31:00Z</dcterms:modified>
</cp:coreProperties>
</file>